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4E0" w:rsidRDefault="00A514E0" w:rsidP="00A514E0">
      <w:pPr>
        <w:jc w:val="center"/>
        <w:rPr>
          <w:rFonts w:ascii="Arial" w:hAnsi="Arial" w:cs="Arial"/>
          <w:b/>
          <w:color w:val="000000" w:themeColor="text1"/>
          <w:sz w:val="20"/>
          <w:szCs w:val="20"/>
        </w:rPr>
      </w:pPr>
      <w:r w:rsidRPr="00F46C09">
        <w:rPr>
          <w:rFonts w:ascii="Arial" w:hAnsi="Arial" w:cs="Arial"/>
          <w:b/>
          <w:color w:val="000000" w:themeColor="text1"/>
          <w:sz w:val="20"/>
          <w:szCs w:val="20"/>
        </w:rPr>
        <w:t>Phụ lục XII</w:t>
      </w:r>
    </w:p>
    <w:p w:rsidR="00A514E0" w:rsidRDefault="00A514E0" w:rsidP="00A514E0">
      <w:pPr>
        <w:jc w:val="center"/>
        <w:rPr>
          <w:rFonts w:ascii="Arial" w:hAnsi="Arial" w:cs="Arial"/>
          <w:i/>
          <w:color w:val="000000" w:themeColor="text1"/>
          <w:sz w:val="20"/>
          <w:szCs w:val="20"/>
        </w:rPr>
      </w:pPr>
      <w:r w:rsidRPr="00F46C09">
        <w:rPr>
          <w:rFonts w:ascii="Arial" w:hAnsi="Arial" w:cs="Arial"/>
          <w:i/>
          <w:color w:val="000000" w:themeColor="text1"/>
          <w:sz w:val="20"/>
          <w:szCs w:val="20"/>
        </w:rPr>
        <w:t xml:space="preserve">(Ban hành kèm theo Thông tư số 12/2025/TT-BXD ngày 30 tháng 06 năm 2025 </w:t>
      </w:r>
      <w:r>
        <w:rPr>
          <w:rFonts w:ascii="Arial" w:hAnsi="Arial" w:cs="Arial"/>
          <w:i/>
          <w:color w:val="000000" w:themeColor="text1"/>
          <w:sz w:val="20"/>
          <w:szCs w:val="20"/>
        </w:rPr>
        <w:br/>
      </w:r>
      <w:r w:rsidRPr="00F46C09">
        <w:rPr>
          <w:rFonts w:ascii="Arial" w:hAnsi="Arial" w:cs="Arial"/>
          <w:i/>
          <w:color w:val="000000" w:themeColor="text1"/>
          <w:sz w:val="20"/>
          <w:szCs w:val="20"/>
        </w:rPr>
        <w:t>của Bộ trưởng Bộ Xây dựng)</w:t>
      </w:r>
    </w:p>
    <w:p w:rsidR="00A514E0" w:rsidRDefault="00A514E0" w:rsidP="00A514E0">
      <w:pPr>
        <w:jc w:val="center"/>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w:t>
      </w:r>
      <w:r w:rsidRPr="00F46C09">
        <w:rPr>
          <w:rFonts w:ascii="Arial" w:hAnsi="Arial" w:cs="Arial"/>
          <w:color w:val="000000" w:themeColor="text1"/>
          <w:sz w:val="20"/>
          <w:szCs w:val="20"/>
          <w:vertAlign w:val="superscript"/>
        </w:rPr>
        <w:t>_</w:t>
      </w:r>
    </w:p>
    <w:p w:rsidR="00A514E0" w:rsidRPr="00F46C09" w:rsidRDefault="00A514E0" w:rsidP="00A514E0">
      <w:pPr>
        <w:jc w:val="center"/>
        <w:rPr>
          <w:rFonts w:ascii="Arial" w:hAnsi="Arial" w:cs="Arial"/>
          <w:b/>
          <w:color w:val="000000" w:themeColor="text1"/>
          <w:sz w:val="20"/>
          <w:szCs w:val="20"/>
        </w:rPr>
      </w:pPr>
    </w:p>
    <w:p w:rsidR="00A514E0" w:rsidRDefault="00A514E0" w:rsidP="00A514E0">
      <w:pPr>
        <w:jc w:val="center"/>
        <w:rPr>
          <w:rFonts w:ascii="Arial" w:hAnsi="Arial" w:cs="Arial"/>
          <w:b/>
          <w:color w:val="000000" w:themeColor="text1"/>
          <w:sz w:val="20"/>
          <w:szCs w:val="20"/>
        </w:rPr>
      </w:pPr>
      <w:bookmarkStart w:id="0" w:name="_GoBack"/>
      <w:r w:rsidRPr="00F46C09">
        <w:rPr>
          <w:rFonts w:ascii="Arial" w:hAnsi="Arial" w:cs="Arial"/>
          <w:b/>
          <w:color w:val="000000" w:themeColor="text1"/>
          <w:sz w:val="20"/>
          <w:szCs w:val="20"/>
        </w:rPr>
        <w:t>HƯỚNG DẪN VIỆC XẾP VÀ CHE ĐẬY HÀNG RỜI</w:t>
      </w:r>
    </w:p>
    <w:bookmarkEnd w:id="0"/>
    <w:p w:rsidR="00A514E0" w:rsidRPr="00F46C09" w:rsidRDefault="00A514E0" w:rsidP="00A514E0">
      <w:pPr>
        <w:jc w:val="center"/>
        <w:rPr>
          <w:rFonts w:ascii="Arial" w:hAnsi="Arial" w:cs="Arial"/>
          <w:b/>
          <w:color w:val="000000" w:themeColor="text1"/>
          <w:sz w:val="20"/>
          <w:szCs w:val="20"/>
        </w:rPr>
      </w:pPr>
    </w:p>
    <w:p w:rsidR="00A514E0" w:rsidRPr="00F46C09" w:rsidRDefault="00A514E0" w:rsidP="00A514E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 Xếp và che đậy hàng rời</w:t>
      </w:r>
    </w:p>
    <w:p w:rsidR="00A514E0" w:rsidRPr="00F46C09" w:rsidRDefault="00A514E0" w:rsidP="00A514E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Hàng rời là các loại vật liệu như cát khô, tro, mạt kim loại,… rất dễ bị gió thổi đi, do đó chúng phải luôn luôn được che đậy bằng những tấm bạt che phù hợp.</w:t>
      </w:r>
    </w:p>
    <w:p w:rsidR="00A514E0" w:rsidRPr="00F46C09" w:rsidRDefault="00A514E0" w:rsidP="00A514E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Hàng rời là những loại hàng hóa ở dạng hạt lớn như sắt vụn, gạch, đá, sỏi, phế liệu xây dựng,... phải được che đậy kín không để rơi vãi xuống đường trong suốt quá trình vận chuyển.</w:t>
      </w:r>
    </w:p>
    <w:p w:rsidR="00A514E0" w:rsidRPr="00F46C09" w:rsidRDefault="00A514E0" w:rsidP="00A514E0">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559BEDE8" wp14:editId="5A02D132">
            <wp:extent cx="5008245" cy="1839595"/>
            <wp:effectExtent l="0" t="0" r="1905"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08245" cy="1839595"/>
                    </a:xfrm>
                    <a:prstGeom prst="rect">
                      <a:avLst/>
                    </a:prstGeom>
                    <a:noFill/>
                    <a:ln>
                      <a:noFill/>
                    </a:ln>
                  </pic:spPr>
                </pic:pic>
              </a:graphicData>
            </a:graphic>
          </wp:inline>
        </w:drawing>
      </w:r>
    </w:p>
    <w:p w:rsidR="00A514E0" w:rsidRPr="00F46C09" w:rsidRDefault="00A514E0" w:rsidP="00A514E0">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3.1. Minh họa về xếp hàng rời</w:t>
      </w:r>
    </w:p>
    <w:p w:rsidR="00A514E0" w:rsidRPr="00F46C09" w:rsidRDefault="00A514E0" w:rsidP="00A514E0">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 Khi vận chuyển cần chú ý kiểm tra trục xe có thể bị quá tải khi xe lên và xuống dốc cao bởi vì các hạt rời có thể di chuyển trong thùng xe. Cụ thể hàng sẽ di chuyển dễ dàng từ đầu này đến đầu kia của thùng xe vì vậy cần kiểm tra thường xuyên trong điều kiện này và có thể xếp lại tải (san đều tải trên bề mặt thùng xe hoặc công-ten-nơ) khi xe dừng đỗ ở nơi an toàn.</w:t>
      </w:r>
    </w:p>
    <w:p w:rsidR="00A514E0" w:rsidRPr="00F46C09" w:rsidRDefault="00A514E0" w:rsidP="00A514E0">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392044EE" wp14:editId="2601292B">
            <wp:extent cx="3519170" cy="1605280"/>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19170" cy="1605280"/>
                    </a:xfrm>
                    <a:prstGeom prst="rect">
                      <a:avLst/>
                    </a:prstGeom>
                    <a:noFill/>
                    <a:ln>
                      <a:noFill/>
                    </a:ln>
                  </pic:spPr>
                </pic:pic>
              </a:graphicData>
            </a:graphic>
          </wp:inline>
        </w:drawing>
      </w:r>
    </w:p>
    <w:p w:rsidR="00A514E0" w:rsidRPr="00F46C09" w:rsidRDefault="00A514E0" w:rsidP="00A514E0">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3.2. Minh họa mô tả tải dịch chuyển khi xe lên dốc</w:t>
      </w:r>
    </w:p>
    <w:p w:rsidR="0034473B" w:rsidRDefault="00A514E0" w:rsidP="00A514E0"/>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4E0"/>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4E0"/>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5C063"/>
  <w15:chartTrackingRefBased/>
  <w15:docId w15:val="{F7D0D587-A28F-4A7B-AA2C-51F4640E4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514E0"/>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847</Characters>
  <Application>Microsoft Office Word</Application>
  <DocSecurity>0</DocSecurity>
  <Lines>7</Lines>
  <Paragraphs>1</Paragraphs>
  <ScaleCrop>false</ScaleCrop>
  <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2025-09-05T08:41:00Z</dcterms:created>
  <dcterms:modified xsi:type="dcterms:W3CDTF">2025-09-05T08:42:00Z</dcterms:modified>
</cp:coreProperties>
</file>